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B0E96" w14:textId="6A726842" w:rsidR="00587752" w:rsidRDefault="00587752" w:rsidP="00587752">
      <w:pPr>
        <w:pStyle w:val="Heading2"/>
      </w:pPr>
      <w:r>
        <w:t>The Service Unit (SU)</w:t>
      </w:r>
    </w:p>
    <w:p w14:paraId="42169B8C" w14:textId="77777777" w:rsidR="00587752" w:rsidRPr="00587752" w:rsidRDefault="00587752" w:rsidP="00587752"/>
    <w:p w14:paraId="660B7592" w14:textId="71F1592C" w:rsidR="00587752" w:rsidRDefault="006C7569" w:rsidP="00587752">
      <w:r>
        <w:t>The S</w:t>
      </w:r>
      <w:r w:rsidR="00587752">
        <w:t xml:space="preserve">ervice Unit (SU) is the charging unit that NCI uses to account for usage of its </w:t>
      </w:r>
      <w:r>
        <w:t xml:space="preserve">compute and storage </w:t>
      </w:r>
      <w:r w:rsidR="00587752">
        <w:t xml:space="preserve">services </w:t>
      </w:r>
      <w:r>
        <w:t>on an hourly basis</w:t>
      </w:r>
      <w:r w:rsidR="00587752">
        <w:t xml:space="preserve">.  </w:t>
      </w:r>
    </w:p>
    <w:p w14:paraId="60AA3D26" w14:textId="77777777" w:rsidR="00587752" w:rsidRDefault="00587752" w:rsidP="00587752"/>
    <w:p w14:paraId="7DF8D635" w14:textId="05494E99" w:rsidR="00587752" w:rsidRDefault="00EB4918" w:rsidP="00587752">
      <w:r>
        <w:t xml:space="preserve">The </w:t>
      </w:r>
      <w:r w:rsidR="00CD245B">
        <w:t>concept</w:t>
      </w:r>
      <w:r>
        <w:t xml:space="preserve"> of a Service Unit (SU) was o</w:t>
      </w:r>
      <w:r w:rsidR="00587752">
        <w:t xml:space="preserve">riginally developed </w:t>
      </w:r>
      <w:r>
        <w:t xml:space="preserve">for the purpose of supercomputer </w:t>
      </w:r>
      <w:r w:rsidR="00B748E0">
        <w:t xml:space="preserve">time </w:t>
      </w:r>
      <w:proofErr w:type="gramStart"/>
      <w:r>
        <w:t>accounting, and</w:t>
      </w:r>
      <w:proofErr w:type="gramEnd"/>
      <w:r>
        <w:t xml:space="preserve"> </w:t>
      </w:r>
      <w:r w:rsidR="00587752">
        <w:t>was based on the core</w:t>
      </w:r>
      <w:r>
        <w:t>-</w:t>
      </w:r>
      <w:r w:rsidR="00587752">
        <w:t>hours utilised by an application</w:t>
      </w:r>
      <w:r>
        <w:t xml:space="preserve"> running on a given system</w:t>
      </w:r>
      <w:r w:rsidR="00587752">
        <w:t>. Over time</w:t>
      </w:r>
      <w:r>
        <w:t>,</w:t>
      </w:r>
      <w:r w:rsidR="00587752">
        <w:t xml:space="preserve"> as systems became more heterogenous</w:t>
      </w:r>
      <w:r w:rsidR="00CD245B">
        <w:t xml:space="preserve"> and</w:t>
      </w:r>
      <w:r w:rsidR="006C7569">
        <w:t xml:space="preserve"> increasingly</w:t>
      </w:r>
      <w:r w:rsidR="00CD245B">
        <w:t xml:space="preserve"> specialised</w:t>
      </w:r>
      <w:r>
        <w:t xml:space="preserve">, </w:t>
      </w:r>
      <w:r w:rsidR="006C7569">
        <w:t xml:space="preserve">methods of charging for resource usage have </w:t>
      </w:r>
      <w:r>
        <w:t xml:space="preserve">diverged from the original </w:t>
      </w:r>
      <w:r w:rsidR="006C7569">
        <w:t xml:space="preserve">model based on </w:t>
      </w:r>
      <w:r>
        <w:t>“</w:t>
      </w:r>
      <w:r w:rsidR="00587752">
        <w:t>one core</w:t>
      </w:r>
      <w:r>
        <w:t>-</w:t>
      </w:r>
      <w:r w:rsidR="00587752">
        <w:t xml:space="preserve">hour </w:t>
      </w:r>
      <w:r>
        <w:t>of execution</w:t>
      </w:r>
      <w:r w:rsidR="006C7569">
        <w:t xml:space="preserve"> time</w:t>
      </w:r>
      <w:r>
        <w:t>”</w:t>
      </w:r>
      <w:r w:rsidR="006C7569">
        <w:t xml:space="preserve">. New HPC </w:t>
      </w:r>
      <w:r w:rsidR="00587752">
        <w:t>offer</w:t>
      </w:r>
      <w:r w:rsidR="006C7569">
        <w:t xml:space="preserve"> a more varied spectrum of</w:t>
      </w:r>
      <w:r w:rsidR="00587752">
        <w:t xml:space="preserve"> performance characteristics</w:t>
      </w:r>
      <w:r w:rsidR="006C7569">
        <w:t xml:space="preserve"> which are not well represented by the </w:t>
      </w:r>
      <w:proofErr w:type="spellStart"/>
      <w:r w:rsidR="006C7569">
        <w:t>cpu</w:t>
      </w:r>
      <w:proofErr w:type="spellEnd"/>
      <w:r w:rsidR="006C7569">
        <w:t>-hour model</w:t>
      </w:r>
      <w:r w:rsidR="00587752">
        <w:t xml:space="preserve">. </w:t>
      </w:r>
      <w:r>
        <w:t>T</w:t>
      </w:r>
      <w:r w:rsidR="00587752">
        <w:t>he S</w:t>
      </w:r>
      <w:r>
        <w:t>ervice Unit has evolved to represent a more general</w:t>
      </w:r>
      <w:r w:rsidR="00B748E0">
        <w:t>ised</w:t>
      </w:r>
      <w:r>
        <w:t xml:space="preserve"> description of </w:t>
      </w:r>
      <w:r w:rsidR="00587752">
        <w:t xml:space="preserve">computational work.  </w:t>
      </w:r>
    </w:p>
    <w:p w14:paraId="4E3EB5AD" w14:textId="77777777" w:rsidR="00587752" w:rsidRDefault="00587752" w:rsidP="00587752"/>
    <w:p w14:paraId="56CC8297" w14:textId="21643EB4" w:rsidR="00587752" w:rsidRDefault="00587752" w:rsidP="00587752">
      <w:r>
        <w:t xml:space="preserve">Calculating the SU charge rate between different generations or types of hardware can be difficult as not all applications will see the same benefit, so an averaging approach is taken across several applications.  For example, a new piece of hardware that has a charge rate of 2 SU per hour compared to older hardware being charged at 1 SU per hour may not translate into a specific researcher application running twice as fast on the new hardware. Some applications will run faster and some slower. Researchers are therefore encouraged to experiment to determine the optimal hardware to run their application on to minimise their SU charges. </w:t>
      </w:r>
    </w:p>
    <w:p w14:paraId="7EBAC566" w14:textId="77777777" w:rsidR="00587752" w:rsidRDefault="00587752" w:rsidP="00587752"/>
    <w:p w14:paraId="5E33E57F" w14:textId="59B9EA88" w:rsidR="00587752" w:rsidRDefault="00587752" w:rsidP="00587752">
      <w:r>
        <w:t>For non-computational services such as storage, SU cha</w:t>
      </w:r>
      <w:r w:rsidR="00F7570C">
        <w:t>rging</w:t>
      </w:r>
      <w:r>
        <w:t xml:space="preserve"> rates are </w:t>
      </w:r>
      <w:r w:rsidR="00F7570C">
        <w:t xml:space="preserve">defined based on the </w:t>
      </w:r>
      <w:r>
        <w:t xml:space="preserve">cost of providing that service. As new equipment is purchased, costs are projected over the expected </w:t>
      </w:r>
      <w:r w:rsidR="00F7570C">
        <w:t xml:space="preserve">service </w:t>
      </w:r>
      <w:r>
        <w:t>lifetime of additional equipment and then averaged across all the equipment for a service.</w:t>
      </w:r>
    </w:p>
    <w:p w14:paraId="07F81454" w14:textId="77777777" w:rsidR="00587752" w:rsidRDefault="00587752" w:rsidP="00587752"/>
    <w:p w14:paraId="5330902A" w14:textId="77777777" w:rsidR="00587752" w:rsidRDefault="00587752" w:rsidP="00587752">
      <w:r>
        <w:t>Depending on the service, the costs making up an SU may include:</w:t>
      </w:r>
    </w:p>
    <w:p w14:paraId="09177733" w14:textId="77777777" w:rsidR="00587752" w:rsidRDefault="00587752" w:rsidP="00587752">
      <w:pPr>
        <w:pStyle w:val="ListParagraph"/>
        <w:numPr>
          <w:ilvl w:val="0"/>
          <w:numId w:val="10"/>
        </w:numPr>
      </w:pPr>
      <w:r>
        <w:t>hardware replacement/lease/expansion costs</w:t>
      </w:r>
    </w:p>
    <w:p w14:paraId="64448E21" w14:textId="77777777" w:rsidR="00587752" w:rsidRDefault="00587752" w:rsidP="00587752">
      <w:pPr>
        <w:pStyle w:val="ListParagraph"/>
        <w:numPr>
          <w:ilvl w:val="0"/>
          <w:numId w:val="10"/>
        </w:numPr>
      </w:pPr>
      <w:r>
        <w:t>maintenance costs</w:t>
      </w:r>
    </w:p>
    <w:p w14:paraId="350D8771" w14:textId="77777777" w:rsidR="00587752" w:rsidRDefault="00587752" w:rsidP="00587752">
      <w:pPr>
        <w:pStyle w:val="ListParagraph"/>
        <w:numPr>
          <w:ilvl w:val="0"/>
          <w:numId w:val="10"/>
        </w:numPr>
      </w:pPr>
      <w:r>
        <w:t xml:space="preserve">utility costs (power &amp; cooling) </w:t>
      </w:r>
    </w:p>
    <w:p w14:paraId="6311D2C4" w14:textId="77777777" w:rsidR="00587752" w:rsidRDefault="00587752" w:rsidP="00587752">
      <w:pPr>
        <w:pStyle w:val="ListParagraph"/>
        <w:numPr>
          <w:ilvl w:val="0"/>
          <w:numId w:val="10"/>
        </w:numPr>
      </w:pPr>
      <w:r>
        <w:t xml:space="preserve">software/ hardware licencing </w:t>
      </w:r>
    </w:p>
    <w:p w14:paraId="3DCF8571" w14:textId="77777777" w:rsidR="00587752" w:rsidRDefault="00587752" w:rsidP="00587752">
      <w:pPr>
        <w:pStyle w:val="ListParagraph"/>
        <w:numPr>
          <w:ilvl w:val="0"/>
          <w:numId w:val="10"/>
        </w:numPr>
      </w:pPr>
      <w:r>
        <w:t>share of data centre costs</w:t>
      </w:r>
    </w:p>
    <w:p w14:paraId="5D3F0A87" w14:textId="77777777" w:rsidR="00587752" w:rsidRDefault="00587752" w:rsidP="00587752">
      <w:pPr>
        <w:pStyle w:val="ListParagraph"/>
        <w:numPr>
          <w:ilvl w:val="0"/>
          <w:numId w:val="10"/>
        </w:numPr>
      </w:pPr>
      <w:r>
        <w:t xml:space="preserve">staffing costs </w:t>
      </w:r>
    </w:p>
    <w:p w14:paraId="5683CC03" w14:textId="77777777" w:rsidR="00587752" w:rsidRDefault="00587752" w:rsidP="00587752">
      <w:pPr>
        <w:pStyle w:val="ListParagraph"/>
        <w:numPr>
          <w:ilvl w:val="0"/>
          <w:numId w:val="10"/>
        </w:numPr>
      </w:pPr>
      <w:r>
        <w:t>administrative costs</w:t>
      </w:r>
    </w:p>
    <w:p w14:paraId="1936694E" w14:textId="77777777" w:rsidR="00587752" w:rsidRDefault="00587752" w:rsidP="00587752">
      <w:pPr>
        <w:pStyle w:val="ListParagraph"/>
        <w:numPr>
          <w:ilvl w:val="0"/>
          <w:numId w:val="10"/>
        </w:numPr>
      </w:pPr>
      <w:r>
        <w:t>overheads for shared services</w:t>
      </w:r>
    </w:p>
    <w:p w14:paraId="5772A37C" w14:textId="77777777" w:rsidR="00587752" w:rsidRDefault="00587752" w:rsidP="00587752">
      <w:pPr>
        <w:pStyle w:val="ListParagraph"/>
        <w:numPr>
          <w:ilvl w:val="0"/>
          <w:numId w:val="10"/>
        </w:numPr>
      </w:pPr>
      <w:r>
        <w:t xml:space="preserve">expected utilisation  </w:t>
      </w:r>
    </w:p>
    <w:p w14:paraId="63F6B731" w14:textId="77777777" w:rsidR="00587752" w:rsidRDefault="00587752" w:rsidP="00587752"/>
    <w:p w14:paraId="0ADEC944" w14:textId="4C6739A6" w:rsidR="00587752" w:rsidRDefault="00587752" w:rsidP="00587752">
      <w:r>
        <w:t xml:space="preserve">The monetary value of a SU is therefore based on the </w:t>
      </w:r>
      <w:r w:rsidRPr="00483213">
        <w:t>cost recovery for operation</w:t>
      </w:r>
      <w:r>
        <w:t xml:space="preserve"> of the service.  </w:t>
      </w:r>
    </w:p>
    <w:p w14:paraId="0B950051" w14:textId="77777777" w:rsidR="008177F2" w:rsidRPr="00AF7058" w:rsidRDefault="008177F2" w:rsidP="005C7AF6"/>
    <w:sectPr w:rsidR="008177F2" w:rsidRPr="00AF7058" w:rsidSect="000C4819">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F22CE" w14:textId="77777777" w:rsidR="00C240AE" w:rsidRDefault="00C240AE" w:rsidP="00D25BEF">
      <w:r>
        <w:separator/>
      </w:r>
    </w:p>
  </w:endnote>
  <w:endnote w:type="continuationSeparator" w:id="0">
    <w:p w14:paraId="7FFD6482" w14:textId="77777777" w:rsidR="00C240AE" w:rsidRDefault="00C240AE" w:rsidP="00D25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36264196"/>
      <w:docPartObj>
        <w:docPartGallery w:val="Page Numbers (Bottom of Page)"/>
        <w:docPartUnique/>
      </w:docPartObj>
    </w:sdtPr>
    <w:sdtEndPr>
      <w:rPr>
        <w:rStyle w:val="PageNumber"/>
      </w:rPr>
    </w:sdtEndPr>
    <w:sdtContent>
      <w:p w14:paraId="46B86C80" w14:textId="77777777" w:rsidR="00DE6DA0" w:rsidRDefault="00DE6DA0" w:rsidP="00DE6D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274A7C" w14:textId="77777777" w:rsidR="00DE6DA0" w:rsidRDefault="00DE6DA0" w:rsidP="002545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8821169"/>
      <w:docPartObj>
        <w:docPartGallery w:val="Page Numbers (Bottom of Page)"/>
        <w:docPartUnique/>
      </w:docPartObj>
    </w:sdtPr>
    <w:sdtEndPr>
      <w:rPr>
        <w:rStyle w:val="PageNumber"/>
      </w:rPr>
    </w:sdtEndPr>
    <w:sdtContent>
      <w:p w14:paraId="00945B39" w14:textId="77777777" w:rsidR="00DE6DA0" w:rsidRDefault="00DE6DA0" w:rsidP="00DE6D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7C3A00" w14:textId="785A0F17" w:rsidR="00DE6DA0" w:rsidRPr="002545C2" w:rsidRDefault="00DE6DA0" w:rsidP="002545C2">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05579" w14:textId="77777777" w:rsidR="005A568F" w:rsidRDefault="005A5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92B67" w14:textId="77777777" w:rsidR="00C240AE" w:rsidRDefault="00C240AE" w:rsidP="00D25BEF">
      <w:r>
        <w:separator/>
      </w:r>
    </w:p>
  </w:footnote>
  <w:footnote w:type="continuationSeparator" w:id="0">
    <w:p w14:paraId="1DB90D66" w14:textId="77777777" w:rsidR="00C240AE" w:rsidRDefault="00C240AE" w:rsidP="00D25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09B5D" w14:textId="063A638E" w:rsidR="005A568F" w:rsidRDefault="005A5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8FE06" w14:textId="0909E7E0" w:rsidR="00DE6DA0" w:rsidRDefault="00DE6DA0">
    <w:pPr>
      <w:pStyle w:val="Header"/>
    </w:pPr>
    <w:r>
      <w:rPr>
        <w:rFonts w:ascii="Arial" w:hAnsi="Arial" w:cs="Arial"/>
        <w:b/>
        <w:noProof/>
        <w:sz w:val="22"/>
        <w:szCs w:val="22"/>
        <w:lang w:val="en-US"/>
      </w:rPr>
      <w:drawing>
        <wp:anchor distT="0" distB="0" distL="114300" distR="114300" simplePos="0" relativeHeight="251659264" behindDoc="1" locked="0" layoutInCell="1" allowOverlap="1" wp14:anchorId="2F26C25F" wp14:editId="7CFB882E">
          <wp:simplePos x="0" y="0"/>
          <wp:positionH relativeFrom="column">
            <wp:posOffset>5003800</wp:posOffset>
          </wp:positionH>
          <wp:positionV relativeFrom="paragraph">
            <wp:posOffset>-227552</wp:posOffset>
          </wp:positionV>
          <wp:extent cx="1419061" cy="604520"/>
          <wp:effectExtent l="0" t="0" r="3810" b="5080"/>
          <wp:wrapNone/>
          <wp:docPr id="1" name="Picture 1" descr="NC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CI Logo&#10;"/>
                  <pic:cNvPicPr/>
                </pic:nvPicPr>
                <pic:blipFill>
                  <a:blip r:embed="rId1">
                    <a:extLst>
                      <a:ext uri="{28A0092B-C50C-407E-A947-70E740481C1C}">
                        <a14:useLocalDpi xmlns:a14="http://schemas.microsoft.com/office/drawing/2010/main" val="0"/>
                      </a:ext>
                    </a:extLst>
                  </a:blip>
                  <a:stretch>
                    <a:fillRect/>
                  </a:stretch>
                </pic:blipFill>
                <pic:spPr>
                  <a:xfrm>
                    <a:off x="0" y="0"/>
                    <a:ext cx="1419061" cy="604520"/>
                  </a:xfrm>
                  <a:prstGeom prst="rect">
                    <a:avLst/>
                  </a:prstGeom>
                </pic:spPr>
              </pic:pic>
            </a:graphicData>
          </a:graphic>
          <wp14:sizeRelH relativeFrom="margin">
            <wp14:pctWidth>0</wp14:pctWidth>
          </wp14:sizeRelH>
          <wp14:sizeRelV relativeFrom="margin">
            <wp14:pctHeight>0</wp14:pctHeight>
          </wp14:sizeRelV>
        </wp:anchor>
      </w:drawing>
    </w:r>
  </w:p>
  <w:p w14:paraId="18462917" w14:textId="0995E160" w:rsidR="00DE6DA0" w:rsidRDefault="00DE6DA0">
    <w:pPr>
      <w:pStyle w:val="Header"/>
    </w:pPr>
  </w:p>
  <w:p w14:paraId="55F3C976" w14:textId="04848671" w:rsidR="00041DE4" w:rsidRDefault="00041DE4">
    <w:pPr>
      <w:pStyle w:val="Header"/>
    </w:pPr>
  </w:p>
  <w:p w14:paraId="6B2656F8" w14:textId="77777777" w:rsidR="00041DE4" w:rsidRDefault="00041D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71902" w14:textId="38007FFA" w:rsidR="005A568F" w:rsidRDefault="005A5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177A6"/>
    <w:multiLevelType w:val="hybridMultilevel"/>
    <w:tmpl w:val="C6785E20"/>
    <w:lvl w:ilvl="0" w:tplc="B4F804E2">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972FB"/>
    <w:multiLevelType w:val="hybridMultilevel"/>
    <w:tmpl w:val="8CB8F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D565C2"/>
    <w:multiLevelType w:val="hybridMultilevel"/>
    <w:tmpl w:val="421C911A"/>
    <w:lvl w:ilvl="0" w:tplc="9D3C767E">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33690B87"/>
    <w:multiLevelType w:val="hybridMultilevel"/>
    <w:tmpl w:val="E7CADD7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4CD83F00"/>
    <w:multiLevelType w:val="hybridMultilevel"/>
    <w:tmpl w:val="4B16F2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077AA7"/>
    <w:multiLevelType w:val="hybridMultilevel"/>
    <w:tmpl w:val="6750F3E6"/>
    <w:lvl w:ilvl="0" w:tplc="B4F804E2">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B6281"/>
    <w:multiLevelType w:val="hybridMultilevel"/>
    <w:tmpl w:val="A95CB14A"/>
    <w:lvl w:ilvl="0" w:tplc="B4F804E2">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8C10BD"/>
    <w:multiLevelType w:val="hybridMultilevel"/>
    <w:tmpl w:val="BC8AA2AE"/>
    <w:lvl w:ilvl="0" w:tplc="B4F804E2">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9F6593"/>
    <w:multiLevelType w:val="hybridMultilevel"/>
    <w:tmpl w:val="0414E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75CDC"/>
    <w:multiLevelType w:val="hybridMultilevel"/>
    <w:tmpl w:val="7B4465F0"/>
    <w:lvl w:ilvl="0" w:tplc="B4F804E2">
      <w:start w:val="18"/>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7"/>
  </w:num>
  <w:num w:numId="5">
    <w:abstractNumId w:val="0"/>
  </w:num>
  <w:num w:numId="6">
    <w:abstractNumId w:val="5"/>
  </w:num>
  <w:num w:numId="7">
    <w:abstractNumId w:val="8"/>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0E5"/>
    <w:rsid w:val="00005784"/>
    <w:rsid w:val="00016FCD"/>
    <w:rsid w:val="00030A78"/>
    <w:rsid w:val="00041DE4"/>
    <w:rsid w:val="000510C9"/>
    <w:rsid w:val="000569ED"/>
    <w:rsid w:val="000574DC"/>
    <w:rsid w:val="00066EFC"/>
    <w:rsid w:val="000872FB"/>
    <w:rsid w:val="000942B2"/>
    <w:rsid w:val="000B6B8C"/>
    <w:rsid w:val="000C4819"/>
    <w:rsid w:val="000E7462"/>
    <w:rsid w:val="001D6F67"/>
    <w:rsid w:val="00200329"/>
    <w:rsid w:val="002045DE"/>
    <w:rsid w:val="002545C2"/>
    <w:rsid w:val="00265FC6"/>
    <w:rsid w:val="002B6D7D"/>
    <w:rsid w:val="002D456E"/>
    <w:rsid w:val="002E1858"/>
    <w:rsid w:val="00351459"/>
    <w:rsid w:val="00397279"/>
    <w:rsid w:val="003A403E"/>
    <w:rsid w:val="003A54CA"/>
    <w:rsid w:val="003B3289"/>
    <w:rsid w:val="003C363C"/>
    <w:rsid w:val="003F0EF0"/>
    <w:rsid w:val="0040108E"/>
    <w:rsid w:val="004459FC"/>
    <w:rsid w:val="00460803"/>
    <w:rsid w:val="00465D9C"/>
    <w:rsid w:val="00564FD7"/>
    <w:rsid w:val="00587752"/>
    <w:rsid w:val="005A568F"/>
    <w:rsid w:val="005C7AF6"/>
    <w:rsid w:val="006851B5"/>
    <w:rsid w:val="006B28EF"/>
    <w:rsid w:val="006B509A"/>
    <w:rsid w:val="006C7569"/>
    <w:rsid w:val="007568A9"/>
    <w:rsid w:val="007813AE"/>
    <w:rsid w:val="007D45FA"/>
    <w:rsid w:val="008177F2"/>
    <w:rsid w:val="0084409C"/>
    <w:rsid w:val="00882721"/>
    <w:rsid w:val="008B233C"/>
    <w:rsid w:val="008B5ED3"/>
    <w:rsid w:val="008D7758"/>
    <w:rsid w:val="00910E41"/>
    <w:rsid w:val="00933F79"/>
    <w:rsid w:val="009414A0"/>
    <w:rsid w:val="009636CF"/>
    <w:rsid w:val="0099222E"/>
    <w:rsid w:val="009A6F98"/>
    <w:rsid w:val="00A000E5"/>
    <w:rsid w:val="00A07872"/>
    <w:rsid w:val="00A16D31"/>
    <w:rsid w:val="00A2071E"/>
    <w:rsid w:val="00AB1EED"/>
    <w:rsid w:val="00AD1308"/>
    <w:rsid w:val="00AF051F"/>
    <w:rsid w:val="00AF7058"/>
    <w:rsid w:val="00B5136A"/>
    <w:rsid w:val="00B748E0"/>
    <w:rsid w:val="00B85935"/>
    <w:rsid w:val="00B865E1"/>
    <w:rsid w:val="00C06FAB"/>
    <w:rsid w:val="00C1296B"/>
    <w:rsid w:val="00C240AE"/>
    <w:rsid w:val="00C24601"/>
    <w:rsid w:val="00C71FCC"/>
    <w:rsid w:val="00CD245B"/>
    <w:rsid w:val="00D23C1D"/>
    <w:rsid w:val="00D25BEF"/>
    <w:rsid w:val="00DA6CC5"/>
    <w:rsid w:val="00DD3F53"/>
    <w:rsid w:val="00DD5EFF"/>
    <w:rsid w:val="00DE6DA0"/>
    <w:rsid w:val="00E50693"/>
    <w:rsid w:val="00EA0C19"/>
    <w:rsid w:val="00EB307F"/>
    <w:rsid w:val="00EB4918"/>
    <w:rsid w:val="00EF10D5"/>
    <w:rsid w:val="00EF4928"/>
    <w:rsid w:val="00F7570C"/>
    <w:rsid w:val="00F93218"/>
    <w:rsid w:val="00FD0534"/>
    <w:rsid w:val="00FE1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63F88"/>
  <w15:chartTrackingRefBased/>
  <w15:docId w15:val="{F5B94E8E-3AAB-CC40-AE2C-B2A9803C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46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78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0032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BEF"/>
    <w:pPr>
      <w:tabs>
        <w:tab w:val="center" w:pos="4513"/>
        <w:tab w:val="right" w:pos="9026"/>
      </w:tabs>
    </w:pPr>
  </w:style>
  <w:style w:type="character" w:customStyle="1" w:styleId="HeaderChar">
    <w:name w:val="Header Char"/>
    <w:basedOn w:val="DefaultParagraphFont"/>
    <w:link w:val="Header"/>
    <w:uiPriority w:val="99"/>
    <w:rsid w:val="00D25BEF"/>
  </w:style>
  <w:style w:type="paragraph" w:styleId="Footer">
    <w:name w:val="footer"/>
    <w:basedOn w:val="Normal"/>
    <w:link w:val="FooterChar"/>
    <w:uiPriority w:val="99"/>
    <w:unhideWhenUsed/>
    <w:rsid w:val="00D25BEF"/>
    <w:pPr>
      <w:tabs>
        <w:tab w:val="center" w:pos="4513"/>
        <w:tab w:val="right" w:pos="9026"/>
      </w:tabs>
    </w:pPr>
  </w:style>
  <w:style w:type="character" w:customStyle="1" w:styleId="FooterChar">
    <w:name w:val="Footer Char"/>
    <w:basedOn w:val="DefaultParagraphFont"/>
    <w:link w:val="Footer"/>
    <w:uiPriority w:val="99"/>
    <w:rsid w:val="00D25BEF"/>
  </w:style>
  <w:style w:type="character" w:customStyle="1" w:styleId="Heading1Char">
    <w:name w:val="Heading 1 Char"/>
    <w:basedOn w:val="DefaultParagraphFont"/>
    <w:link w:val="Heading1"/>
    <w:uiPriority w:val="9"/>
    <w:rsid w:val="00C2460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5136A"/>
    <w:pPr>
      <w:ind w:left="720"/>
      <w:contextualSpacing/>
    </w:pPr>
  </w:style>
  <w:style w:type="character" w:customStyle="1" w:styleId="Heading2Char">
    <w:name w:val="Heading 2 Char"/>
    <w:basedOn w:val="DefaultParagraphFont"/>
    <w:link w:val="Heading2"/>
    <w:uiPriority w:val="9"/>
    <w:rsid w:val="00A07872"/>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2545C2"/>
  </w:style>
  <w:style w:type="character" w:customStyle="1" w:styleId="Heading3Char">
    <w:name w:val="Heading 3 Char"/>
    <w:basedOn w:val="DefaultParagraphFont"/>
    <w:link w:val="Heading3"/>
    <w:uiPriority w:val="9"/>
    <w:rsid w:val="00200329"/>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C06F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6FAB"/>
    <w:rPr>
      <w:rFonts w:ascii="Times New Roman" w:hAnsi="Times New Roman" w:cs="Times New Roman"/>
      <w:sz w:val="18"/>
      <w:szCs w:val="18"/>
    </w:rPr>
  </w:style>
  <w:style w:type="paragraph" w:styleId="EndnoteText">
    <w:name w:val="endnote text"/>
    <w:basedOn w:val="Normal"/>
    <w:link w:val="EndnoteTextChar"/>
    <w:uiPriority w:val="99"/>
    <w:semiHidden/>
    <w:unhideWhenUsed/>
    <w:rsid w:val="00465D9C"/>
    <w:rPr>
      <w:sz w:val="20"/>
      <w:szCs w:val="20"/>
    </w:rPr>
  </w:style>
  <w:style w:type="character" w:customStyle="1" w:styleId="EndnoteTextChar">
    <w:name w:val="Endnote Text Char"/>
    <w:basedOn w:val="DefaultParagraphFont"/>
    <w:link w:val="EndnoteText"/>
    <w:uiPriority w:val="99"/>
    <w:semiHidden/>
    <w:rsid w:val="00465D9C"/>
    <w:rPr>
      <w:sz w:val="20"/>
      <w:szCs w:val="20"/>
    </w:rPr>
  </w:style>
  <w:style w:type="character" w:styleId="CommentReference">
    <w:name w:val="annotation reference"/>
    <w:basedOn w:val="DefaultParagraphFont"/>
    <w:uiPriority w:val="99"/>
    <w:semiHidden/>
    <w:unhideWhenUsed/>
    <w:rsid w:val="00066EFC"/>
    <w:rPr>
      <w:sz w:val="16"/>
      <w:szCs w:val="16"/>
    </w:rPr>
  </w:style>
  <w:style w:type="paragraph" w:styleId="CommentText">
    <w:name w:val="annotation text"/>
    <w:basedOn w:val="Normal"/>
    <w:link w:val="CommentTextChar"/>
    <w:uiPriority w:val="99"/>
    <w:semiHidden/>
    <w:unhideWhenUsed/>
    <w:rsid w:val="00066EFC"/>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066EFC"/>
    <w:rPr>
      <w:rFonts w:ascii="Times New Roman" w:eastAsia="Times New Roman" w:hAnsi="Times New Roman"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lan/Desktop/NCI-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E1197-E7BA-BC4A-A04E-9FE36256C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NCI-Template.dotx</Template>
  <TotalTime>5</TotalTime>
  <Pages>1</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ANU</Company>
  <LinksUpToDate>false</LinksUpToDate>
  <CharactersWithSpaces>2115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dc:creator>
  <cp:keywords/>
  <dc:description/>
  <cp:lastModifiedBy>Roger Edberg</cp:lastModifiedBy>
  <cp:revision>2</cp:revision>
  <dcterms:created xsi:type="dcterms:W3CDTF">2021-06-16T07:10:00Z</dcterms:created>
  <dcterms:modified xsi:type="dcterms:W3CDTF">2021-06-16T07:10:00Z</dcterms:modified>
  <cp:category/>
</cp:coreProperties>
</file>